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2024-10-29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2024-10-29T08:17:21Z</dcterms:created>
  <dcterms:modified xsi:type="dcterms:W3CDTF">2024-10-29T08:17:21Z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2024-10-29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lightbox">
    <vt:lpwstr>auto</vt:lpwstr>
  </property>
  <property fmtid="{D5CDD505-2E9C-101B-9397-08002B2CF9AE}" pid="19" name="msname">
    <vt:lpwstr>MS</vt:lpwstr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