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A575" w14:textId="3EADF65D" w:rsidR="00C83DEB" w:rsidRPr="009A350C" w:rsidRDefault="00C83DEB" w:rsidP="009A350C">
      <w:bookmarkStart w:id="0" w:name="references"/>
      <w:bookmarkStart w:id="1" w:name="refs"/>
      <w:bookmarkStart w:id="2" w:name="ref-zohary2010phytoplankton"/>
      <w:bookmarkEnd w:id="0"/>
      <w:bookmarkEnd w:id="1"/>
      <w:bookmarkEnd w:id="2"/>
    </w:p>
    <w:sectPr w:rsidR="00C83DEB" w:rsidRPr="009A350C" w:rsidSect="00D34A99">
      <w:type w:val="continuous"/>
      <w:pgSz w:w="11952" w:h="16848"/>
      <w:pgMar w:top="1440" w:right="1440" w:bottom="1440" w:left="1440" w:header="720" w:footer="720" w:gutter="72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3A83" w14:textId="77777777" w:rsidR="00BF0311" w:rsidRDefault="00BF0311">
      <w:pPr>
        <w:spacing w:before="0" w:after="0" w:line="240" w:lineRule="auto"/>
      </w:pPr>
      <w:r>
        <w:separator/>
      </w:r>
    </w:p>
  </w:endnote>
  <w:endnote w:type="continuationSeparator" w:id="0">
    <w:p w14:paraId="31DC2545" w14:textId="77777777" w:rsidR="00BF0311" w:rsidRDefault="00BF03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BE150" w14:textId="77777777" w:rsidR="00BF0311" w:rsidRDefault="00BF0311">
      <w:r>
        <w:separator/>
      </w:r>
    </w:p>
  </w:footnote>
  <w:footnote w:type="continuationSeparator" w:id="0">
    <w:p w14:paraId="11580055" w14:textId="77777777" w:rsidR="00BF0311" w:rsidRDefault="00BF0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17A2F78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35BCE1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7ACA3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5208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38C7D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20CF0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05CA9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027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DB2B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85C77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CEBA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0"/>
    <w:multiLevelType w:val="multilevel"/>
    <w:tmpl w:val="ECD091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00A99421"/>
    <w:multiLevelType w:val="multilevel"/>
    <w:tmpl w:val="3592AE2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2AAB1796"/>
    <w:multiLevelType w:val="multilevel"/>
    <w:tmpl w:val="F7E0ED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C1AE401"/>
    <w:multiLevelType w:val="multilevel"/>
    <w:tmpl w:val="EB5024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47003809">
    <w:abstractNumId w:val="14"/>
  </w:num>
  <w:num w:numId="2" w16cid:durableId="1050769522">
    <w:abstractNumId w:val="1"/>
  </w:num>
  <w:num w:numId="3" w16cid:durableId="691146791">
    <w:abstractNumId w:val="2"/>
  </w:num>
  <w:num w:numId="4" w16cid:durableId="1840848626">
    <w:abstractNumId w:val="3"/>
  </w:num>
  <w:num w:numId="5" w16cid:durableId="979381040">
    <w:abstractNumId w:val="4"/>
  </w:num>
  <w:num w:numId="6" w16cid:durableId="1339770353">
    <w:abstractNumId w:val="9"/>
  </w:num>
  <w:num w:numId="7" w16cid:durableId="1869879009">
    <w:abstractNumId w:val="5"/>
  </w:num>
  <w:num w:numId="8" w16cid:durableId="958805246">
    <w:abstractNumId w:val="6"/>
  </w:num>
  <w:num w:numId="9" w16cid:durableId="1871726544">
    <w:abstractNumId w:val="7"/>
  </w:num>
  <w:num w:numId="10" w16cid:durableId="1443769426">
    <w:abstractNumId w:val="8"/>
  </w:num>
  <w:num w:numId="11" w16cid:durableId="2133476877">
    <w:abstractNumId w:val="10"/>
  </w:num>
  <w:num w:numId="12" w16cid:durableId="1658653764">
    <w:abstractNumId w:val="13"/>
  </w:num>
  <w:num w:numId="13" w16cid:durableId="1291326281">
    <w:abstractNumId w:val="14"/>
  </w:num>
  <w:num w:numId="14" w16cid:durableId="455566639">
    <w:abstractNumId w:val="0"/>
  </w:num>
  <w:num w:numId="15" w16cid:durableId="1123501441">
    <w:abstractNumId w:val="0"/>
  </w:num>
  <w:num w:numId="16" w16cid:durableId="1713111372">
    <w:abstractNumId w:val="14"/>
  </w:num>
  <w:num w:numId="17" w16cid:durableId="633413296">
    <w:abstractNumId w:val="14"/>
  </w:num>
  <w:num w:numId="18" w16cid:durableId="727605067">
    <w:abstractNumId w:val="0"/>
  </w:num>
  <w:num w:numId="19" w16cid:durableId="790052878">
    <w:abstractNumId w:val="0"/>
  </w:num>
  <w:num w:numId="20" w16cid:durableId="1687557063">
    <w:abstractNumId w:val="0"/>
  </w:num>
  <w:num w:numId="21" w16cid:durableId="1615483120">
    <w:abstractNumId w:val="14"/>
  </w:num>
  <w:num w:numId="22" w16cid:durableId="1942569766">
    <w:abstractNumId w:val="14"/>
  </w:num>
  <w:num w:numId="23" w16cid:durableId="1205798551">
    <w:abstractNumId w:val="11"/>
  </w:num>
  <w:num w:numId="24" w16cid:durableId="647243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4794324">
    <w:abstractNumId w:val="11"/>
  </w:num>
  <w:num w:numId="26" w16cid:durableId="1211453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EB"/>
    <w:rsid w:val="009A350C"/>
    <w:rsid w:val="00BF0311"/>
    <w:rsid w:val="00C83DE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F86745"/>
  <w15:docId w15:val="{2B03925C-0A4F-A241-ABB1-8D8972E7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C52"/>
    <w:pPr>
      <w:spacing w:before="120" w:after="240" w:line="480" w:lineRule="auto"/>
      <w:ind w:firstLine="397"/>
      <w:jc w:val="both"/>
    </w:pPr>
    <w:rPr>
      <w:rFonts w:ascii="Calibri" w:eastAsiaTheme="minorEastAsia" w:hAnsi="Calibri"/>
    </w:rPr>
  </w:style>
  <w:style w:type="paragraph" w:styleId="Heading1">
    <w:name w:val="heading 1"/>
    <w:basedOn w:val="Normal"/>
    <w:next w:val="BodyText"/>
    <w:uiPriority w:val="9"/>
    <w:qFormat/>
    <w:rsid w:val="009F1910"/>
    <w:pPr>
      <w:keepNext/>
      <w:keepLines/>
      <w:numPr>
        <w:numId w:val="12"/>
      </w:numPr>
      <w:spacing w:after="0" w:line="240" w:lineRule="auto"/>
      <w:ind w:left="0" w:firstLine="0"/>
      <w:outlineLvl w:val="0"/>
    </w:pPr>
    <w:rPr>
      <w:rFonts w:asciiTheme="majorHAnsi" w:eastAsiaTheme="majorEastAsia" w:hAnsiTheme="majorHAnsi" w:cstheme="majorBidi"/>
      <w:b/>
      <w:bCs/>
      <w:sz w:val="32"/>
      <w:szCs w:val="32"/>
    </w:rPr>
  </w:style>
  <w:style w:type="paragraph" w:styleId="Heading2">
    <w:name w:val="heading 2"/>
    <w:basedOn w:val="Normal"/>
    <w:next w:val="BodyText"/>
    <w:autoRedefine/>
    <w:uiPriority w:val="9"/>
    <w:unhideWhenUsed/>
    <w:qFormat/>
    <w:rsid w:val="009F1910"/>
    <w:pPr>
      <w:keepNext/>
      <w:keepLines/>
      <w:numPr>
        <w:ilvl w:val="1"/>
        <w:numId w:val="12"/>
      </w:numPr>
      <w:spacing w:after="120" w:line="240" w:lineRule="auto"/>
      <w:ind w:left="0" w:firstLine="0"/>
      <w:outlineLvl w:val="1"/>
    </w:pPr>
    <w:rPr>
      <w:rFonts w:asciiTheme="majorHAnsi" w:eastAsiaTheme="majorEastAsia" w:hAnsiTheme="majorHAnsi" w:cstheme="majorBidi"/>
      <w:b/>
      <w:bCs/>
      <w:sz w:val="28"/>
      <w:szCs w:val="28"/>
    </w:rPr>
  </w:style>
  <w:style w:type="paragraph" w:styleId="Heading3">
    <w:name w:val="heading 3"/>
    <w:basedOn w:val="Normal"/>
    <w:next w:val="BodyText"/>
    <w:uiPriority w:val="9"/>
    <w:unhideWhenUsed/>
    <w:qFormat/>
    <w:rsid w:val="00357B8B"/>
    <w:pPr>
      <w:keepNext/>
      <w:keepLines/>
      <w:numPr>
        <w:ilvl w:val="2"/>
        <w:numId w:val="12"/>
      </w:numPr>
      <w:spacing w:before="200" w:after="0"/>
      <w:outlineLvl w:val="2"/>
    </w:pPr>
    <w:rPr>
      <w:rFonts w:asciiTheme="majorHAnsi" w:eastAsiaTheme="majorEastAsia" w:hAnsiTheme="majorHAnsi" w:cstheme="majorBidi"/>
      <w:b/>
      <w:bCs/>
    </w:rPr>
  </w:style>
  <w:style w:type="paragraph" w:styleId="Heading4">
    <w:name w:val="heading 4"/>
    <w:basedOn w:val="Normal"/>
    <w:next w:val="BodyText"/>
    <w:uiPriority w:val="9"/>
    <w:unhideWhenUsed/>
    <w:qFormat/>
    <w:pPr>
      <w:keepNext/>
      <w:keepLines/>
      <w:numPr>
        <w:ilvl w:val="3"/>
        <w:numId w:val="12"/>
      </w:numPr>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numPr>
        <w:ilvl w:val="4"/>
        <w:numId w:val="12"/>
      </w:numPr>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numPr>
        <w:ilvl w:val="5"/>
        <w:numId w:val="12"/>
      </w:numPr>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numPr>
        <w:ilvl w:val="6"/>
        <w:numId w:val="12"/>
      </w:numPr>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numPr>
        <w:ilvl w:val="7"/>
        <w:numId w:val="12"/>
      </w:numPr>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numPr>
        <w:ilvl w:val="8"/>
        <w:numId w:val="12"/>
      </w:numPr>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475C52"/>
    <w:pPr>
      <w:spacing w:before="180" w:after="180"/>
    </w:pPr>
  </w:style>
  <w:style w:type="paragraph" w:customStyle="1" w:styleId="FirstParagraph">
    <w:name w:val="First Paragraph"/>
    <w:basedOn w:val="BodyText"/>
    <w:next w:val="BodyText"/>
    <w:autoRedefine/>
    <w:qFormat/>
    <w:rsid w:val="001D0787"/>
    <w:pPr>
      <w:spacing w:before="240" w:after="120"/>
    </w:pPr>
  </w:style>
  <w:style w:type="paragraph" w:customStyle="1" w:styleId="Compact">
    <w:name w:val="Compact"/>
    <w:basedOn w:val="BodyText"/>
    <w:autoRedefine/>
    <w:qFormat/>
    <w:rsid w:val="00684FFA"/>
    <w:pPr>
      <w:spacing w:before="0" w:after="0"/>
      <w:ind w:firstLine="0"/>
      <w:jc w:val="left"/>
    </w:pPr>
  </w:style>
  <w:style w:type="paragraph" w:styleId="Title">
    <w:name w:val="Title"/>
    <w:basedOn w:val="Normal"/>
    <w:next w:val="BodyText"/>
    <w:qFormat/>
    <w:rsid w:val="009F1910"/>
    <w:pPr>
      <w:keepNext/>
      <w:keepLines/>
      <w:spacing w:before="240" w:after="120" w:line="240" w:lineRule="auto"/>
      <w:ind w:firstLine="0"/>
      <w:jc w:val="center"/>
    </w:pPr>
    <w:rPr>
      <w:rFonts w:asciiTheme="majorHAnsi" w:eastAsiaTheme="majorEastAsia" w:hAnsiTheme="majorHAnsi" w:cstheme="majorBidi"/>
      <w:b/>
      <w:bCs/>
      <w:sz w:val="32"/>
      <w:szCs w:val="36"/>
    </w:rPr>
  </w:style>
  <w:style w:type="paragraph" w:styleId="Subtitle">
    <w:name w:val="Subtitle"/>
    <w:basedOn w:val="Title"/>
    <w:next w:val="BodyText"/>
    <w:qFormat/>
    <w:rsid w:val="004659FD"/>
    <w:pPr>
      <w:spacing w:after="240"/>
    </w:pPr>
    <w:rPr>
      <w:sz w:val="28"/>
      <w:szCs w:val="30"/>
    </w:rPr>
  </w:style>
  <w:style w:type="paragraph" w:customStyle="1" w:styleId="Author">
    <w:name w:val="Author"/>
    <w:next w:val="BodyText"/>
    <w:qFormat/>
    <w:rsid w:val="009F1910"/>
    <w:pPr>
      <w:keepNext/>
      <w:keepLines/>
      <w:jc w:val="center"/>
    </w:pPr>
    <w:rPr>
      <w:sz w:val="21"/>
    </w:rPr>
  </w:style>
  <w:style w:type="paragraph" w:styleId="Date">
    <w:name w:val="Date"/>
    <w:next w:val="BodyText"/>
    <w:qFormat/>
    <w:pPr>
      <w:keepNext/>
      <w:keepLines/>
      <w:jc w:val="center"/>
    </w:pPr>
  </w:style>
  <w:style w:type="paragraph" w:customStyle="1" w:styleId="Abstract">
    <w:name w:val="Abstract"/>
    <w:basedOn w:val="Normal"/>
    <w:next w:val="BodyText"/>
    <w:autoRedefine/>
    <w:qFormat/>
    <w:rsid w:val="00475C52"/>
    <w:rPr>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basedOn w:val="TableNormal"/>
    <w:semiHidden/>
    <w:unhideWhenUsed/>
    <w:qFormat/>
    <w:rsid w:val="00556B80"/>
    <w:tblPr>
      <w:jc w:val="center"/>
      <w:tblBorders>
        <w:bottom w:val="single" w:sz="4" w:space="0" w:color="auto"/>
      </w:tblBorders>
    </w:tblPr>
    <w:trPr>
      <w:jc w:val="center"/>
    </w:trPr>
    <w:tblStylePr w:type="firstRow">
      <w:pPr>
        <w:jc w:val="center"/>
      </w:pPr>
      <w:rPr>
        <w:rFonts w:asciiTheme="minorHAnsi" w:hAnsiTheme="minorHAnsi"/>
        <w:b/>
        <w:color w:val="auto"/>
        <w:sz w:val="24"/>
        <w:u w:val="none"/>
      </w:rPr>
      <w:tblPr/>
      <w:tcPr>
        <w:tcBorders>
          <w:top w:val="single" w:sz="4" w:space="0" w:color="auto"/>
          <w:bottom w:val="single" w:sz="4" w:space="0" w:color="auto"/>
        </w:tcBorders>
        <w:shd w:val="clear" w:color="auto" w:fill="BFBFBF" w:themeFill="background1" w:themeFillShade="BF"/>
      </w:tcPr>
    </w:tblStylePr>
    <w:tblStylePr w:type="firstCol">
      <w:rPr>
        <w:b/>
      </w:r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autoRedefine/>
    <w:rsid w:val="00556B80"/>
    <w:pPr>
      <w:spacing w:before="0" w:after="120"/>
      <w:jc w:val="center"/>
    </w:pPr>
    <w:rPr>
      <w:i/>
    </w:rPr>
  </w:style>
  <w:style w:type="paragraph" w:customStyle="1" w:styleId="TableCaption">
    <w:name w:val="Table Caption"/>
    <w:basedOn w:val="Caption"/>
    <w:autoRedefine/>
    <w:rsid w:val="009F1910"/>
    <w:pPr>
      <w:keepNext/>
      <w:spacing w:before="240"/>
      <w:ind w:firstLine="0"/>
    </w:pPr>
  </w:style>
  <w:style w:type="paragraph" w:customStyle="1" w:styleId="ImageCaption">
    <w:name w:val="Image Caption"/>
    <w:basedOn w:val="Caption"/>
    <w:autoRedefine/>
    <w:qFormat/>
    <w:rsid w:val="009A350C"/>
    <w:pPr>
      <w:keepLines/>
      <w:spacing w:before="200"/>
      <w:ind w:firstLine="0"/>
      <w:jc w:val="both"/>
    </w:pPr>
  </w:style>
  <w:style w:type="paragraph" w:customStyle="1" w:styleId="Figure">
    <w:name w:val="Figure"/>
    <w:basedOn w:val="Normal"/>
    <w:autoRedefine/>
    <w:rsid w:val="001D0787"/>
    <w:pPr>
      <w:keepNext/>
      <w:spacing w:before="240" w:after="120" w:line="360" w:lineRule="auto"/>
      <w:ind w:firstLine="0"/>
      <w:jc w:val="center"/>
    </w:pPr>
    <w:rPr>
      <w:noProof/>
    </w:rPr>
  </w:style>
  <w:style w:type="paragraph" w:customStyle="1" w:styleId="CaptionedFigure">
    <w:name w:val="Captioned Figure"/>
    <w:basedOn w:val="Figure"/>
    <w:rsid w:val="00357B8B"/>
  </w:style>
  <w:style w:type="character" w:customStyle="1" w:styleId="CaptionChar">
    <w:name w:val="Caption Char"/>
    <w:basedOn w:val="DefaultParagraphFont"/>
    <w:link w:val="Caption"/>
    <w:rsid w:val="00556B80"/>
    <w:rPr>
      <w:i/>
    </w:rPr>
  </w:style>
  <w:style w:type="character" w:customStyle="1" w:styleId="VerbatimChar">
    <w:name w:val="Verbatim Char"/>
    <w:basedOn w:val="CaptionChar"/>
    <w:link w:val="SourceCode"/>
    <w:rsid w:val="00357B8B"/>
    <w:rPr>
      <w:i/>
      <w:shd w:val="clear" w:color="auto" w:fill="F8F8F8"/>
    </w:rPr>
  </w:style>
  <w:style w:type="character" w:styleId="FootnoteReference">
    <w:name w:val="footnote reference"/>
    <w:basedOn w:val="CaptionChar"/>
    <w:rPr>
      <w:i/>
      <w:vertAlign w:val="superscript"/>
    </w:rPr>
  </w:style>
  <w:style w:type="character" w:styleId="Hyperlink">
    <w:name w:val="Hyperlink"/>
    <w:basedOn w:val="CaptionChar"/>
    <w:rPr>
      <w:i/>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357B8B"/>
    <w:pPr>
      <w:framePr w:wrap="around" w:vAnchor="text" w:hAnchor="text" w:y="1"/>
      <w:shd w:val="clear" w:color="auto" w:fill="F8F8F8"/>
      <w:wordWrap w:val="0"/>
      <w:spacing w:before="0" w:after="0" w:line="240" w:lineRule="auto"/>
      <w:ind w:firstLine="0"/>
    </w:pPr>
  </w:style>
  <w:style w:type="character" w:customStyle="1" w:styleId="KeywordTok">
    <w:name w:val="KeywordTok"/>
    <w:basedOn w:val="VerbatimChar"/>
    <w:rPr>
      <w:b/>
      <w:i/>
      <w:color w:val="204A87"/>
      <w:shd w:val="clear" w:color="auto" w:fill="F8F8F8"/>
    </w:rPr>
  </w:style>
  <w:style w:type="character" w:customStyle="1" w:styleId="DataTypeTok">
    <w:name w:val="DataTypeTok"/>
    <w:basedOn w:val="VerbatimChar"/>
    <w:rPr>
      <w:i/>
      <w:color w:val="204A87"/>
      <w:shd w:val="clear" w:color="auto" w:fill="F8F8F8"/>
    </w:rPr>
  </w:style>
  <w:style w:type="character" w:customStyle="1" w:styleId="DecValTok">
    <w:name w:val="DecValTok"/>
    <w:basedOn w:val="VerbatimChar"/>
    <w:rPr>
      <w:i/>
      <w:color w:val="0000CF"/>
      <w:shd w:val="clear" w:color="auto" w:fill="F8F8F8"/>
    </w:rPr>
  </w:style>
  <w:style w:type="character" w:customStyle="1" w:styleId="BaseNTok">
    <w:name w:val="BaseNTok"/>
    <w:basedOn w:val="VerbatimChar"/>
    <w:rPr>
      <w:i/>
      <w:color w:val="0000CF"/>
      <w:shd w:val="clear" w:color="auto" w:fill="F8F8F8"/>
    </w:rPr>
  </w:style>
  <w:style w:type="character" w:customStyle="1" w:styleId="FloatTok">
    <w:name w:val="FloatTok"/>
    <w:basedOn w:val="VerbatimChar"/>
    <w:rPr>
      <w:i/>
      <w:color w:val="0000CF"/>
      <w:shd w:val="clear" w:color="auto" w:fill="F8F8F8"/>
    </w:rPr>
  </w:style>
  <w:style w:type="character" w:customStyle="1" w:styleId="ConstantTok">
    <w:name w:val="ConstantTok"/>
    <w:basedOn w:val="VerbatimChar"/>
    <w:rPr>
      <w:i/>
      <w:color w:val="000000"/>
      <w:shd w:val="clear" w:color="auto" w:fill="F8F8F8"/>
    </w:rPr>
  </w:style>
  <w:style w:type="character" w:customStyle="1" w:styleId="CharTok">
    <w:name w:val="CharTok"/>
    <w:basedOn w:val="VerbatimChar"/>
    <w:rPr>
      <w:i/>
      <w:color w:val="4E9A06"/>
      <w:shd w:val="clear" w:color="auto" w:fill="F8F8F8"/>
    </w:rPr>
  </w:style>
  <w:style w:type="character" w:customStyle="1" w:styleId="SpecialCharTok">
    <w:name w:val="SpecialCharTok"/>
    <w:basedOn w:val="VerbatimChar"/>
    <w:rPr>
      <w:i/>
      <w:color w:val="000000"/>
      <w:shd w:val="clear" w:color="auto" w:fill="F8F8F8"/>
    </w:rPr>
  </w:style>
  <w:style w:type="character" w:customStyle="1" w:styleId="StringTok">
    <w:name w:val="StringTok"/>
    <w:basedOn w:val="VerbatimChar"/>
    <w:rPr>
      <w:i/>
      <w:color w:val="4E9A06"/>
      <w:shd w:val="clear" w:color="auto" w:fill="F8F8F8"/>
    </w:rPr>
  </w:style>
  <w:style w:type="character" w:customStyle="1" w:styleId="VerbatimStringTok">
    <w:name w:val="VerbatimStringTok"/>
    <w:basedOn w:val="VerbatimChar"/>
    <w:rPr>
      <w:i/>
      <w:color w:val="4E9A06"/>
      <w:shd w:val="clear" w:color="auto" w:fill="F8F8F8"/>
    </w:rPr>
  </w:style>
  <w:style w:type="character" w:customStyle="1" w:styleId="SpecialStringTok">
    <w:name w:val="SpecialStringTok"/>
    <w:basedOn w:val="VerbatimChar"/>
    <w:rPr>
      <w:i/>
      <w:color w:val="4E9A06"/>
      <w:shd w:val="clear" w:color="auto" w:fill="F8F8F8"/>
    </w:rPr>
  </w:style>
  <w:style w:type="character" w:customStyle="1" w:styleId="ImportTok">
    <w:name w:val="ImportTok"/>
    <w:basedOn w:val="VerbatimChar"/>
    <w:rPr>
      <w:i/>
      <w:shd w:val="clear" w:color="auto" w:fill="F8F8F8"/>
    </w:rPr>
  </w:style>
  <w:style w:type="character" w:customStyle="1" w:styleId="CommentTok">
    <w:name w:val="CommentTok"/>
    <w:basedOn w:val="VerbatimChar"/>
    <w:rPr>
      <w:i w:val="0"/>
      <w:color w:val="8F5902"/>
      <w:shd w:val="clear" w:color="auto" w:fill="F8F8F8"/>
    </w:rPr>
  </w:style>
  <w:style w:type="character" w:customStyle="1" w:styleId="DocumentationTok">
    <w:name w:val="DocumentationTok"/>
    <w:basedOn w:val="VerbatimChar"/>
    <w:rPr>
      <w:b/>
      <w:i w:val="0"/>
      <w:color w:val="8F5902"/>
      <w:shd w:val="clear" w:color="auto" w:fill="F8F8F8"/>
    </w:rPr>
  </w:style>
  <w:style w:type="character" w:customStyle="1" w:styleId="AnnotationTok">
    <w:name w:val="AnnotationTok"/>
    <w:basedOn w:val="VerbatimChar"/>
    <w:rPr>
      <w:b/>
      <w:i w:val="0"/>
      <w:color w:val="8F5902"/>
      <w:shd w:val="clear" w:color="auto" w:fill="F8F8F8"/>
    </w:rPr>
  </w:style>
  <w:style w:type="character" w:customStyle="1" w:styleId="CommentVarTok">
    <w:name w:val="CommentVarTok"/>
    <w:basedOn w:val="VerbatimChar"/>
    <w:rPr>
      <w:b/>
      <w:i w:val="0"/>
      <w:color w:val="8F5902"/>
      <w:shd w:val="clear" w:color="auto" w:fill="F8F8F8"/>
    </w:rPr>
  </w:style>
  <w:style w:type="character" w:customStyle="1" w:styleId="OtherTok">
    <w:name w:val="OtherTok"/>
    <w:basedOn w:val="VerbatimChar"/>
    <w:rPr>
      <w:i/>
      <w:color w:val="8F5902"/>
      <w:shd w:val="clear" w:color="auto" w:fill="F8F8F8"/>
    </w:rPr>
  </w:style>
  <w:style w:type="character" w:customStyle="1" w:styleId="FunctionTok">
    <w:name w:val="FunctionTok"/>
    <w:basedOn w:val="VerbatimChar"/>
    <w:rPr>
      <w:i/>
      <w:color w:val="000000"/>
      <w:shd w:val="clear" w:color="auto" w:fill="F8F8F8"/>
    </w:rPr>
  </w:style>
  <w:style w:type="character" w:customStyle="1" w:styleId="VariableTok">
    <w:name w:val="VariableTok"/>
    <w:basedOn w:val="VerbatimChar"/>
    <w:rPr>
      <w:i/>
      <w:color w:val="000000"/>
      <w:shd w:val="clear" w:color="auto" w:fill="F8F8F8"/>
    </w:rPr>
  </w:style>
  <w:style w:type="character" w:customStyle="1" w:styleId="ControlFlowTok">
    <w:name w:val="ControlFlowTok"/>
    <w:basedOn w:val="VerbatimChar"/>
    <w:rPr>
      <w:b/>
      <w:i/>
      <w:color w:val="204A87"/>
      <w:shd w:val="clear" w:color="auto" w:fill="F8F8F8"/>
    </w:rPr>
  </w:style>
  <w:style w:type="character" w:customStyle="1" w:styleId="OperatorTok">
    <w:name w:val="OperatorTok"/>
    <w:basedOn w:val="VerbatimChar"/>
    <w:rPr>
      <w:b/>
      <w:i/>
      <w:color w:val="CE5C00"/>
      <w:shd w:val="clear" w:color="auto" w:fill="F8F8F8"/>
    </w:rPr>
  </w:style>
  <w:style w:type="character" w:customStyle="1" w:styleId="BuiltInTok">
    <w:name w:val="BuiltInTok"/>
    <w:basedOn w:val="VerbatimChar"/>
    <w:rPr>
      <w:i/>
      <w:shd w:val="clear" w:color="auto" w:fill="F8F8F8"/>
    </w:rPr>
  </w:style>
  <w:style w:type="character" w:customStyle="1" w:styleId="ExtensionTok">
    <w:name w:val="ExtensionTok"/>
    <w:basedOn w:val="VerbatimChar"/>
    <w:rPr>
      <w:i/>
      <w:shd w:val="clear" w:color="auto" w:fill="F8F8F8"/>
    </w:rPr>
  </w:style>
  <w:style w:type="character" w:customStyle="1" w:styleId="PreprocessorTok">
    <w:name w:val="PreprocessorTok"/>
    <w:basedOn w:val="VerbatimChar"/>
    <w:rPr>
      <w:i w:val="0"/>
      <w:color w:val="8F5902"/>
      <w:shd w:val="clear" w:color="auto" w:fill="F8F8F8"/>
    </w:rPr>
  </w:style>
  <w:style w:type="character" w:customStyle="1" w:styleId="AttributeTok">
    <w:name w:val="AttributeTok"/>
    <w:basedOn w:val="VerbatimChar"/>
    <w:rPr>
      <w:i/>
      <w:color w:val="C4A000"/>
      <w:shd w:val="clear" w:color="auto" w:fill="F8F8F8"/>
    </w:rPr>
  </w:style>
  <w:style w:type="character" w:customStyle="1" w:styleId="RegionMarkerTok">
    <w:name w:val="RegionMarkerTok"/>
    <w:basedOn w:val="VerbatimChar"/>
    <w:rPr>
      <w:i/>
      <w:shd w:val="clear" w:color="auto" w:fill="F8F8F8"/>
    </w:rPr>
  </w:style>
  <w:style w:type="character" w:customStyle="1" w:styleId="InformationTok">
    <w:name w:val="InformationTok"/>
    <w:basedOn w:val="VerbatimChar"/>
    <w:rPr>
      <w:b/>
      <w:i w:val="0"/>
      <w:color w:val="8F5902"/>
      <w:shd w:val="clear" w:color="auto" w:fill="F8F8F8"/>
    </w:rPr>
  </w:style>
  <w:style w:type="character" w:customStyle="1" w:styleId="WarningTok">
    <w:name w:val="WarningTok"/>
    <w:basedOn w:val="VerbatimChar"/>
    <w:rPr>
      <w:b/>
      <w:i w:val="0"/>
      <w:color w:val="8F5902"/>
      <w:shd w:val="clear" w:color="auto" w:fill="F8F8F8"/>
    </w:rPr>
  </w:style>
  <w:style w:type="character" w:customStyle="1" w:styleId="AlertTok">
    <w:name w:val="AlertTok"/>
    <w:basedOn w:val="VerbatimChar"/>
    <w:rPr>
      <w:i/>
      <w:color w:val="EF2929"/>
      <w:shd w:val="clear" w:color="auto" w:fill="F8F8F8"/>
    </w:rPr>
  </w:style>
  <w:style w:type="character" w:customStyle="1" w:styleId="ErrorTok">
    <w:name w:val="ErrorTok"/>
    <w:basedOn w:val="VerbatimChar"/>
    <w:rPr>
      <w:b/>
      <w:i/>
      <w:color w:val="A40000"/>
      <w:shd w:val="clear" w:color="auto" w:fill="F8F8F8"/>
    </w:rPr>
  </w:style>
  <w:style w:type="character" w:customStyle="1" w:styleId="NormalTok">
    <w:name w:val="NormalTok"/>
    <w:basedOn w:val="VerbatimChar"/>
    <w:rPr>
      <w:i/>
      <w:shd w:val="clear" w:color="auto" w:fill="F8F8F8"/>
    </w:rPr>
  </w:style>
  <w:style w:type="character" w:customStyle="1" w:styleId="BodyTextChar">
    <w:name w:val="Body Text Char"/>
    <w:basedOn w:val="DefaultParagraphFont"/>
    <w:link w:val="BodyText"/>
    <w:rsid w:val="00475C52"/>
    <w:rPr>
      <w:rFonts w:ascii="Calibri" w:eastAsiaTheme="minorEastAsia" w:hAnsi="Calibri"/>
    </w:rPr>
  </w:style>
  <w:style w:type="paragraph" w:customStyle="1" w:styleId="Image">
    <w:name w:val="Image"/>
    <w:qFormat/>
    <w:rsid w:val="009F1910"/>
    <w:pPr>
      <w:keepNext/>
      <w:spacing w:before="240" w:after="120"/>
      <w:jc w:val="center"/>
    </w:pPr>
    <w:rPr>
      <w:rFonts w:ascii="Calibri" w:hAnsi="Calibri"/>
      <w:noProof/>
    </w:rPr>
  </w:style>
  <w:style w:type="table" w:customStyle="1" w:styleId="TableScientific">
    <w:name w:val="Table Scientific"/>
    <w:basedOn w:val="TableNormal"/>
    <w:uiPriority w:val="99"/>
    <w:rsid w:val="0043749A"/>
    <w:pPr>
      <w:spacing w:before="100" w:beforeAutospacing="1" w:after="100" w:afterAutospacing="1" w:line="360" w:lineRule="auto"/>
    </w:pPr>
    <w:rPr>
      <w:rFonts w:ascii="Calibri" w:eastAsiaTheme="minorEastAsia" w:hAnsi="Calibri" w:cs="Times New Roman (Body CS)"/>
      <w:sz w:val="22"/>
    </w:rPr>
    <w:tblPr>
      <w:jc w:val="center"/>
      <w:tblBorders>
        <w:bottom w:val="single" w:sz="4" w:space="0" w:color="auto"/>
      </w:tblBorders>
    </w:tblPr>
    <w:trPr>
      <w:jc w:val="center"/>
    </w:trPr>
    <w:tcPr>
      <w:vAlign w:val="center"/>
    </w:tcPr>
    <w:tblStylePr w:type="firstRow">
      <w:pPr>
        <w:jc w:val="left"/>
      </w:pPr>
      <w:rPr>
        <w:b/>
      </w:rPr>
      <w:tblPr/>
      <w:tcPr>
        <w:tcBorders>
          <w:top w:val="single" w:sz="4" w:space="0" w:color="auto"/>
          <w:bottom w:val="single" w:sz="4" w:space="0" w:color="auto"/>
        </w:tcBorders>
        <w:shd w:val="clear" w:color="auto" w:fill="F2F2F2" w:themeFill="background1" w:themeFillShade="F2"/>
        <w:vAlign w:val="center"/>
      </w:tcPr>
    </w:tblStylePr>
    <w:tblStylePr w:type="lastRow">
      <w:rPr>
        <w:rFonts w:ascii="Calibri" w:hAnsi="Calibri"/>
      </w:rPr>
      <w:tblPr/>
      <w:tcPr>
        <w:tcBorders>
          <w:bottom w:val="single" w:sz="4" w:space="0" w:color="auto"/>
        </w:tcBorders>
      </w:tcPr>
    </w:tblStylePr>
    <w:tblStylePr w:type="lastCol">
      <w:pPr>
        <w:keepNext/>
        <w:wordWrap/>
        <w:spacing w:beforeLines="0" w:before="0" w:beforeAutospacing="0" w:afterLines="0" w:after="0" w:afterAutospacing="0" w:line="240" w:lineRule="auto"/>
        <w:ind w:leftChars="0" w:left="0" w:rightChars="0" w:right="0" w:firstLineChars="0" w:firstLine="0"/>
      </w:pPr>
      <w:rPr>
        <w:rFonts w:ascii="Calibri" w:eastAsia="SimSun" w:hAnsi="Calibri"/>
      </w:rPr>
      <w:tblPr/>
      <w:tcPr>
        <w:tcBorders>
          <w:bottom w:val="nil"/>
        </w:tcBorders>
      </w:tcPr>
    </w:tblStylePr>
  </w:style>
  <w:style w:type="table" w:styleId="PlainTable1">
    <w:name w:val="Plain Table 1"/>
    <w:basedOn w:val="TableNormal"/>
    <w:rsid w:val="00300D7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rsid w:val="00300D7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1">
    <w:name w:val="Table1"/>
    <w:basedOn w:val="TableNormal"/>
    <w:uiPriority w:val="99"/>
    <w:rsid w:val="0043749A"/>
    <w:pPr>
      <w:spacing w:after="0"/>
      <w:jc w:val="center"/>
    </w:pPr>
    <w:tblPr>
      <w:tblBorders>
        <w:top w:val="single" w:sz="4" w:space="0" w:color="auto"/>
        <w:bottom w:val="single" w:sz="4" w:space="0" w:color="auto"/>
      </w:tblBorders>
    </w:tblPr>
    <w:tcPr>
      <w:noWrap/>
      <w:vAlign w:val="center"/>
    </w:tcPr>
    <w:tblStylePr w:type="firstRow">
      <w:rPr>
        <w:b/>
      </w:rPr>
      <w:tblPr/>
      <w:tcPr>
        <w:tcBorders>
          <w:bottom w:val="single" w:sz="4" w:space="0" w:color="auto"/>
        </w:tcBorders>
      </w:tcPr>
    </w:tblStylePr>
    <w:tblStylePr w:type="firstCol">
      <w:pPr>
        <w:wordWrap/>
        <w:spacing w:beforeLines="0" w:before="0" w:beforeAutospacing="0" w:afterLines="0" w:after="0" w:afterAutospacing="0" w:line="240" w:lineRule="auto"/>
        <w:ind w:leftChars="0" w:left="0" w:rightChars="0" w:right="0" w:firstLineChars="0" w:firstLine="0"/>
        <w:jc w:val="left"/>
        <w:textboxTightWrap w:val="allLines"/>
        <w:outlineLvl w:val="9"/>
      </w:pPr>
      <w:rPr>
        <w:b/>
      </w:rPr>
    </w:tblStylePr>
  </w:style>
  <w:style w:type="character" w:styleId="LineNumber">
    <w:name w:val="line number"/>
    <w:basedOn w:val="DefaultParagraphFont"/>
    <w:semiHidden/>
    <w:unhideWhenUsed/>
    <w:rsid w:val="00D34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Strategy for identification of MIB producers using routine data: a case study of an estuary drinking water reservoir</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of MIB-producing cyanobacteria based on turbidity management in an estuary reservoir</dc:title>
  <dc:creator>Ming Su; Yiping Zhu; Michael Burch; Jinping Lu; Tengxin Cao; Yufan Ai; Jianwei Yu; Min Yang</dc:creator>
  <cp:keywords>2-methylisoborneol, filamentous cyanobacteria, underwater light regulation, Planktothrix, turbidity, odor, drinking water reservoir</cp:keywords>
  <cp:lastModifiedBy>Ming Su</cp:lastModifiedBy>
  <cp:revision>2</cp:revision>
  <dcterms:created xsi:type="dcterms:W3CDTF">2022-10-13T03:46:00Z</dcterms:created>
  <dcterms:modified xsi:type="dcterms:W3CDTF">2022-10-13T03:46:00Z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occurrence of the earthy smell odorant 2-methylisoborneol (MIB) in source water released by filamentous cyanobacteria has increasingly become a challenge to the water supply industry over the globe. Here, we propose a novel approach to minimize the growth of the MIB-producing Planktothrix sp. by reducing underwater light availability through increasing inlet water flow rate to maintain a high-water turbidity in QCS Reservoir, an estuary reservoir with a huge water supply capacity (5.0 GL d-1) in Yangtze River which is known for its relatively high turbidity. Planktothrix presents strong spatial heterogeneity together with MIB concentrations in the reservoir. The region with a low water turbidity and thus a high underwater light availability is favored by Planktothrix, resulting in a relatively high MIB concentration. Cluster analysis of environmental factors suggests MIB was highly related to water transparency and water turbidity (p &lt; 0.001). A risk model was constructed to predict the MIB occurrence by integrating several sub-models to determine water turbidity, underwater light intensity, cell growth, etc. The results suggest that the percentage of high-risk area can be reduced from 21% to less than 5% by doubling inlet flow rate. This underwater light regulation approach is clean and economical because it utilizes the high turbidity feature of the river water to abate the MIB problem without requiring additional energy and chemicals.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/Users/ming/literature/Ref.bib</vt:lpwstr>
  </property>
  <property fmtid="{D5CDD505-2E9C-101B-9397-08002B2CF9AE}" pid="7" name="by-affiliation">
    <vt:lpwstr/>
  </property>
  <property fmtid="{D5CDD505-2E9C-101B-9397-08002B2CF9AE}" pid="8" name="by-author">
    <vt:lpwstr/>
  </property>
  <property fmtid="{D5CDD505-2E9C-101B-9397-08002B2CF9AE}" pid="9" name="csl">
    <vt:lpwstr>https://www.zotero.org/styles/elsevier-harvard</vt:lpwstr>
  </property>
  <property fmtid="{D5CDD505-2E9C-101B-9397-08002B2CF9AE}" pid="10" name="date">
    <vt:lpwstr>10/13/22</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anguage">
    <vt:lpwstr/>
  </property>
  <property fmtid="{D5CDD505-2E9C-101B-9397-08002B2CF9AE}" pid="16" name="pandoc_args">
    <vt:lpwstr/>
  </property>
  <property fmtid="{D5CDD505-2E9C-101B-9397-08002B2CF9AE}" pid="17" name="preload">
    <vt:lpwstr/>
  </property>
  <property fmtid="{D5CDD505-2E9C-101B-9397-08002B2CF9AE}" pid="18" name="toc-title">
    <vt:lpwstr>Table of contents</vt:lpwstr>
  </property>
</Properties>
</file>